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A" w:rsidRPr="00F45F5A" w:rsidRDefault="00214E6A" w:rsidP="00410405">
      <w:pPr>
        <w:rPr>
          <w:rFonts w:ascii="Times New Roman" w:hAnsi="Times New Roman"/>
          <w:sz w:val="28"/>
          <w:szCs w:val="28"/>
          <w:lang w:val="uk-UA"/>
        </w:rPr>
      </w:pPr>
      <w:r w:rsidRPr="00F45F5A">
        <w:rPr>
          <w:rFonts w:ascii="Times New Roman" w:hAnsi="Times New Roman"/>
          <w:sz w:val="28"/>
          <w:szCs w:val="28"/>
          <w:lang w:val="uk-UA"/>
        </w:rPr>
        <w:t xml:space="preserve">Обгрунтування </w:t>
      </w:r>
      <w:hyperlink r:id="rId5" w:tgtFrame="_blank" w:history="1">
        <w:r w:rsidRPr="00CD6308">
          <w:rPr>
            <w:rFonts w:ascii="Times New Roman" w:hAnsi="Times New Roman"/>
            <w:sz w:val="28"/>
            <w:szCs w:val="28"/>
            <w:lang w:val="uk-UA"/>
          </w:rPr>
          <w:t>UA-2021-09-07-010111-c</w:t>
        </w:r>
      </w:hyperlink>
    </w:p>
    <w:p w:rsidR="00214E6A" w:rsidRPr="00E22BDA" w:rsidRDefault="00214E6A" w:rsidP="00720EEE">
      <w:pPr>
        <w:jc w:val="center"/>
        <w:rPr>
          <w:rFonts w:ascii="Times New Roman" w:hAnsi="Times New Roman"/>
          <w:sz w:val="28"/>
          <w:szCs w:val="28"/>
          <w:lang w:val="uk-UA"/>
        </w:rPr>
      </w:pPr>
      <w:r w:rsidRPr="00E22BDA">
        <w:rPr>
          <w:rFonts w:ascii="Times New Roman" w:hAnsi="Times New Roman"/>
          <w:sz w:val="28"/>
          <w:szCs w:val="28"/>
          <w:lang w:val="uk-UA"/>
        </w:rPr>
        <w:t>Обгрунтування технічних та якісних характеристик предмета закупівлі, розміру бюджетного призначення, очікуваної вартості предмета закупівлі (відповідно до пункту 4¹ постанови КМУ від 11.10.2016 №710 «Про ефективне використання державних коштів» (зі змінами))</w:t>
      </w:r>
    </w:p>
    <w:p w:rsidR="00214E6A" w:rsidRPr="00E22BDA" w:rsidRDefault="00214E6A" w:rsidP="00224C40">
      <w:pPr>
        <w:jc w:val="center"/>
        <w:rPr>
          <w:rFonts w:ascii="Times New Roman" w:hAnsi="Times New Roman"/>
          <w:sz w:val="28"/>
          <w:szCs w:val="28"/>
          <w:lang w:val="uk-UA"/>
        </w:rPr>
      </w:pPr>
    </w:p>
    <w:p w:rsidR="00214E6A" w:rsidRPr="0046560D" w:rsidRDefault="00214E6A" w:rsidP="0046560D">
      <w:pPr>
        <w:pStyle w:val="ListParagraph"/>
        <w:numPr>
          <w:ilvl w:val="0"/>
          <w:numId w:val="1"/>
        </w:numPr>
        <w:spacing w:after="0" w:line="240" w:lineRule="auto"/>
        <w:ind w:left="567" w:hanging="283"/>
        <w:jc w:val="both"/>
        <w:rPr>
          <w:rFonts w:ascii="Times New Roman" w:hAnsi="Times New Roman"/>
          <w:color w:val="000000"/>
          <w:sz w:val="28"/>
          <w:szCs w:val="28"/>
        </w:rPr>
      </w:pPr>
      <w:r w:rsidRPr="0046560D">
        <w:rPr>
          <w:rFonts w:ascii="Times New Roman" w:hAnsi="Times New Roman"/>
          <w:color w:val="000000"/>
          <w:sz w:val="28"/>
          <w:szCs w:val="28"/>
        </w:rPr>
        <w:t>Державний вищий навчальний заклад «Придніпровська державна академія будівництва та архітектури», код ЄДРПОУ 02070772, 49600, Дніпропетровська область, м. Дніпро, вул. Чернишевського,24А</w:t>
      </w:r>
    </w:p>
    <w:p w:rsidR="00214E6A" w:rsidRPr="00A73693" w:rsidRDefault="00214E6A" w:rsidP="0046560D">
      <w:pPr>
        <w:pStyle w:val="ListParagraph"/>
        <w:numPr>
          <w:ilvl w:val="0"/>
          <w:numId w:val="1"/>
        </w:numPr>
        <w:spacing w:after="0" w:line="240" w:lineRule="auto"/>
        <w:ind w:left="567" w:hanging="283"/>
        <w:jc w:val="both"/>
        <w:rPr>
          <w:rFonts w:ascii="Times New Roman" w:hAnsi="Times New Roman"/>
          <w:color w:val="000000"/>
          <w:sz w:val="28"/>
          <w:szCs w:val="28"/>
          <w:bdr w:val="none" w:sz="0" w:space="0" w:color="auto" w:frame="1"/>
          <w:lang w:eastAsia="ru-RU"/>
        </w:rPr>
      </w:pPr>
      <w:r w:rsidRPr="00D83B49">
        <w:rPr>
          <w:rFonts w:ascii="Times New Roman" w:hAnsi="Times New Roman"/>
          <w:color w:val="000000"/>
          <w:sz w:val="28"/>
          <w:szCs w:val="28"/>
        </w:rPr>
        <w:t>«</w:t>
      </w:r>
      <w:r>
        <w:rPr>
          <w:rFonts w:ascii="Times New Roman" w:hAnsi="Times New Roman"/>
          <w:color w:val="000000"/>
          <w:sz w:val="28"/>
          <w:szCs w:val="28"/>
          <w:bdr w:val="none" w:sz="0" w:space="0" w:color="auto" w:frame="1"/>
          <w:lang w:eastAsia="ru-RU"/>
        </w:rPr>
        <w:t>44830000-7</w:t>
      </w:r>
      <w:r w:rsidRPr="00E566D4">
        <w:rPr>
          <w:rFonts w:ascii="Times New Roman" w:hAnsi="Times New Roman"/>
          <w:color w:val="000000"/>
          <w:sz w:val="28"/>
          <w:szCs w:val="28"/>
          <w:bdr w:val="none" w:sz="0" w:space="0" w:color="auto" w:frame="1"/>
          <w:lang w:eastAsia="ru-RU"/>
        </w:rPr>
        <w:t xml:space="preserve">- </w:t>
      </w:r>
      <w:r w:rsidRPr="000153C3">
        <w:rPr>
          <w:rFonts w:ascii="Times New Roman" w:hAnsi="Times New Roman"/>
          <w:color w:val="000000"/>
          <w:sz w:val="28"/>
          <w:szCs w:val="28"/>
          <w:bdr w:val="none" w:sz="0" w:space="0" w:color="auto" w:frame="1"/>
          <w:lang w:eastAsia="ru-RU"/>
        </w:rPr>
        <w:t>Мастики, шпаклівки, замазки та розчинники</w:t>
      </w:r>
      <w:r w:rsidRPr="00E566D4">
        <w:rPr>
          <w:rFonts w:ascii="Times New Roman" w:hAnsi="Times New Roman"/>
          <w:color w:val="000000"/>
          <w:sz w:val="28"/>
          <w:szCs w:val="28"/>
          <w:bdr w:val="none" w:sz="0" w:space="0" w:color="auto" w:frame="1"/>
          <w:lang w:eastAsia="ru-RU"/>
        </w:rPr>
        <w:t xml:space="preserve"> за ДК 021:2015 Єдиного закупівельного словника</w:t>
      </w:r>
      <w:r>
        <w:rPr>
          <w:rFonts w:ascii="Times New Roman" w:hAnsi="Times New Roman"/>
          <w:color w:val="000000"/>
          <w:sz w:val="28"/>
          <w:szCs w:val="28"/>
          <w:bdr w:val="none" w:sz="0" w:space="0" w:color="auto" w:frame="1"/>
          <w:lang w:eastAsia="ru-RU"/>
        </w:rPr>
        <w:t>: Праймер бітумний-каучуковий</w:t>
      </w:r>
      <w:r w:rsidRPr="00DA2605">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213467">
        <w:rPr>
          <w:rFonts w:ascii="Times New Roman" w:hAnsi="Times New Roman"/>
          <w:color w:val="000000"/>
          <w:sz w:val="28"/>
          <w:szCs w:val="28"/>
          <w:bdr w:val="none" w:sz="0" w:space="0" w:color="auto" w:frame="1"/>
          <w:lang w:eastAsia="ru-RU"/>
        </w:rPr>
        <w:t xml:space="preserve"> </w:t>
      </w:r>
      <w:r>
        <w:rPr>
          <w:rFonts w:ascii="Times New Roman" w:hAnsi="Times New Roman"/>
          <w:color w:val="000000"/>
          <w:sz w:val="28"/>
          <w:szCs w:val="28"/>
          <w:bdr w:val="none" w:sz="0" w:space="0" w:color="auto" w:frame="1"/>
          <w:lang w:eastAsia="ru-RU"/>
        </w:rPr>
        <w:t xml:space="preserve">суміш армуюча, ґрунтовка, </w:t>
      </w:r>
      <w:r w:rsidRPr="00213467">
        <w:rPr>
          <w:rFonts w:ascii="Times New Roman" w:hAnsi="Times New Roman"/>
          <w:color w:val="000000"/>
          <w:sz w:val="28"/>
          <w:szCs w:val="28"/>
          <w:bdr w:val="none" w:sz="0" w:space="0" w:color="auto" w:frame="1"/>
          <w:lang w:eastAsia="ru-RU"/>
        </w:rPr>
        <w:t xml:space="preserve">відповідний код - </w:t>
      </w:r>
      <w:r w:rsidRPr="009E33B5">
        <w:rPr>
          <w:rFonts w:ascii="Times New Roman" w:hAnsi="Times New Roman"/>
          <w:color w:val="000000"/>
          <w:sz w:val="28"/>
          <w:szCs w:val="28"/>
          <w:bdr w:val="none" w:sz="0" w:space="0" w:color="auto" w:frame="1"/>
          <w:lang w:eastAsia="ru-RU"/>
        </w:rPr>
        <w:t>44831000-4</w:t>
      </w:r>
      <w:r w:rsidRPr="00A73693">
        <w:rPr>
          <w:rFonts w:ascii="Times New Roman" w:hAnsi="Times New Roman"/>
          <w:color w:val="000000"/>
          <w:sz w:val="28"/>
          <w:szCs w:val="28"/>
          <w:bdr w:val="none" w:sz="0" w:space="0" w:color="auto" w:frame="1"/>
          <w:lang w:eastAsia="ru-RU"/>
        </w:rPr>
        <w:t>»</w:t>
      </w:r>
    </w:p>
    <w:p w:rsidR="00214E6A" w:rsidRPr="00CD6308" w:rsidRDefault="00214E6A" w:rsidP="00D90F86">
      <w:pPr>
        <w:pStyle w:val="ListParagraph"/>
        <w:numPr>
          <w:ilvl w:val="0"/>
          <w:numId w:val="1"/>
        </w:numPr>
        <w:spacing w:after="0" w:line="240" w:lineRule="auto"/>
        <w:ind w:left="567" w:hanging="283"/>
        <w:jc w:val="both"/>
        <w:rPr>
          <w:rFonts w:ascii="Times New Roman" w:hAnsi="Times New Roman"/>
          <w:color w:val="000000"/>
          <w:sz w:val="28"/>
          <w:szCs w:val="28"/>
          <w:bdr w:val="none" w:sz="0" w:space="0" w:color="auto" w:frame="1"/>
          <w:lang w:eastAsia="ru-RU"/>
        </w:rPr>
      </w:pPr>
      <w:hyperlink r:id="rId6" w:tgtFrame="_blank" w:history="1">
        <w:r w:rsidRPr="00CD6308">
          <w:rPr>
            <w:rFonts w:ascii="Times New Roman" w:hAnsi="Times New Roman"/>
            <w:color w:val="000000"/>
            <w:sz w:val="28"/>
            <w:szCs w:val="28"/>
            <w:bdr w:val="none" w:sz="0" w:space="0" w:color="auto" w:frame="1"/>
            <w:lang w:eastAsia="ru-RU"/>
          </w:rPr>
          <w:t>UA-2021-09-07-010111-c</w:t>
        </w:r>
      </w:hyperlink>
    </w:p>
    <w:p w:rsidR="00214E6A" w:rsidRPr="00566C7C" w:rsidRDefault="00214E6A" w:rsidP="00566C7C">
      <w:pPr>
        <w:pStyle w:val="ListParagraph"/>
        <w:numPr>
          <w:ilvl w:val="0"/>
          <w:numId w:val="1"/>
        </w:numPr>
        <w:spacing w:after="0" w:line="240" w:lineRule="auto"/>
        <w:ind w:left="567" w:hanging="283"/>
        <w:jc w:val="both"/>
        <w:rPr>
          <w:rFonts w:ascii="Times New Roman" w:hAnsi="Times New Roman"/>
          <w:color w:val="000000"/>
          <w:sz w:val="28"/>
          <w:szCs w:val="28"/>
          <w:bdr w:val="none" w:sz="0" w:space="0" w:color="auto" w:frame="1"/>
          <w:lang w:eastAsia="ru-RU"/>
        </w:rPr>
      </w:pPr>
      <w:r w:rsidRPr="00566C7C">
        <w:rPr>
          <w:rFonts w:ascii="Times New Roman" w:hAnsi="Times New Roman"/>
          <w:color w:val="000000"/>
          <w:sz w:val="28"/>
          <w:szCs w:val="28"/>
          <w:bdr w:val="none" w:sz="0" w:space="0" w:color="auto" w:frame="1"/>
          <w:lang w:eastAsia="ru-RU"/>
        </w:rPr>
        <w:t xml:space="preserve">Переговорна процедура, на підставі пункту 1 частини 2 статті 40 Закону України «Про публічні закупівлі» (далі – Закон) </w:t>
      </w:r>
      <w:bookmarkStart w:id="0" w:name="_GoBack"/>
      <w:bookmarkEnd w:id="0"/>
      <w:r w:rsidRPr="00566C7C">
        <w:rPr>
          <w:rFonts w:ascii="Times New Roman" w:hAnsi="Times New Roman"/>
          <w:color w:val="000000"/>
          <w:sz w:val="28"/>
          <w:szCs w:val="28"/>
          <w:bdr w:val="none" w:sz="0" w:space="0" w:color="auto" w:frame="1"/>
          <w:lang w:eastAsia="ru-RU"/>
        </w:rPr>
        <w:t xml:space="preserve">- Переговорна процедура закупівлі застосовується замовником як виняток у разі: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w:t>
      </w:r>
    </w:p>
    <w:p w:rsidR="00214E6A" w:rsidRPr="00566C7C" w:rsidRDefault="00214E6A" w:rsidP="00D93414">
      <w:pPr>
        <w:pStyle w:val="ListParagraph"/>
        <w:numPr>
          <w:ilvl w:val="0"/>
          <w:numId w:val="1"/>
        </w:numPr>
        <w:spacing w:after="0" w:line="240" w:lineRule="auto"/>
        <w:ind w:left="567" w:hanging="283"/>
        <w:jc w:val="both"/>
        <w:rPr>
          <w:rFonts w:ascii="Times New Roman" w:hAnsi="Times New Roman"/>
          <w:color w:val="000000"/>
          <w:sz w:val="28"/>
          <w:szCs w:val="28"/>
          <w:lang w:val="uk-UA"/>
        </w:rPr>
      </w:pPr>
      <w:r w:rsidRPr="00566C7C">
        <w:rPr>
          <w:rFonts w:ascii="Times New Roman" w:hAnsi="Times New Roman"/>
          <w:sz w:val="28"/>
          <w:szCs w:val="28"/>
          <w:lang w:val="uk-UA" w:eastAsia="ru-RU"/>
        </w:rPr>
        <w:t xml:space="preserve">Очікуємий </w:t>
      </w:r>
      <w:r w:rsidRPr="00566C7C">
        <w:rPr>
          <w:rFonts w:ascii="Times New Roman" w:hAnsi="Times New Roman"/>
          <w:color w:val="000000"/>
          <w:sz w:val="28"/>
          <w:szCs w:val="28"/>
          <w:lang w:val="uk-UA"/>
        </w:rPr>
        <w:t>розмір бюджетного призначення  - 20402,20грн.</w:t>
      </w: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r w:rsidRPr="00566C7C">
        <w:rPr>
          <w:rFonts w:ascii="Times New Roman" w:hAnsi="Times New Roman"/>
          <w:color w:val="000000"/>
          <w:sz w:val="28"/>
          <w:szCs w:val="28"/>
          <w:lang w:val="uk-UA"/>
        </w:rPr>
        <w:t>Замовником проведено дослідження ринку. Для визначення ціни були направлені запити комерційних пропозицій до декількох потенційних постачальників та взята середньо арифметична вартість товару.</w:t>
      </w:r>
    </w:p>
    <w:p w:rsidR="00214E6A" w:rsidRDefault="00214E6A" w:rsidP="005C3842">
      <w:pPr>
        <w:pStyle w:val="ListParagraph"/>
        <w:numPr>
          <w:ilvl w:val="0"/>
          <w:numId w:val="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Обсяг поставки товару: згідно технічних вимог (Додаток 1).</w:t>
      </w: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414FD5">
      <w:pPr>
        <w:pStyle w:val="ListParagraph"/>
        <w:spacing w:after="0" w:line="240" w:lineRule="auto"/>
        <w:ind w:left="540"/>
        <w:jc w:val="both"/>
        <w:rPr>
          <w:rFonts w:ascii="Times New Roman" w:hAnsi="Times New Roman"/>
          <w:color w:val="000000"/>
          <w:sz w:val="28"/>
          <w:szCs w:val="28"/>
          <w:lang w:val="uk-UA"/>
        </w:rPr>
      </w:pPr>
    </w:p>
    <w:p w:rsidR="00214E6A" w:rsidRDefault="00214E6A" w:rsidP="005C3842">
      <w:pPr>
        <w:pStyle w:val="NormalWeb"/>
        <w:spacing w:before="0" w:beforeAutospacing="0" w:after="0" w:afterAutospacing="0"/>
        <w:jc w:val="right"/>
        <w:rPr>
          <w:b/>
          <w:bCs/>
          <w:sz w:val="22"/>
          <w:szCs w:val="22"/>
          <w:lang w:val="uk-UA"/>
        </w:rPr>
      </w:pPr>
    </w:p>
    <w:p w:rsidR="00214E6A" w:rsidRDefault="00214E6A" w:rsidP="005C3842">
      <w:pPr>
        <w:pStyle w:val="NormalWeb"/>
        <w:spacing w:before="0" w:beforeAutospacing="0" w:after="0" w:afterAutospacing="0"/>
        <w:jc w:val="right"/>
        <w:rPr>
          <w:b/>
          <w:bCs/>
          <w:sz w:val="22"/>
          <w:szCs w:val="22"/>
          <w:lang w:val="uk-UA"/>
        </w:rPr>
      </w:pPr>
    </w:p>
    <w:p w:rsidR="00214E6A" w:rsidRDefault="00214E6A" w:rsidP="005C3842">
      <w:pPr>
        <w:pStyle w:val="NormalWeb"/>
        <w:spacing w:before="0" w:beforeAutospacing="0" w:after="0" w:afterAutospacing="0"/>
        <w:jc w:val="right"/>
        <w:rPr>
          <w:b/>
          <w:bCs/>
          <w:sz w:val="22"/>
          <w:szCs w:val="22"/>
          <w:lang w:val="uk-UA"/>
        </w:rPr>
      </w:pPr>
    </w:p>
    <w:p w:rsidR="00214E6A" w:rsidRPr="005C3842" w:rsidRDefault="00214E6A" w:rsidP="005C3842">
      <w:pPr>
        <w:pStyle w:val="NormalWeb"/>
        <w:spacing w:before="0" w:beforeAutospacing="0" w:after="0" w:afterAutospacing="0"/>
        <w:jc w:val="right"/>
        <w:rPr>
          <w:b/>
          <w:bCs/>
          <w:sz w:val="22"/>
          <w:szCs w:val="22"/>
          <w:lang w:val="uk-UA"/>
        </w:rPr>
      </w:pPr>
      <w:r w:rsidRPr="005C3842">
        <w:rPr>
          <w:b/>
          <w:bCs/>
          <w:sz w:val="22"/>
          <w:szCs w:val="22"/>
          <w:lang w:val="uk-UA"/>
        </w:rPr>
        <w:t>Додаток 1</w:t>
      </w:r>
    </w:p>
    <w:p w:rsidR="00214E6A" w:rsidRPr="005C3842" w:rsidRDefault="00214E6A" w:rsidP="005C3842">
      <w:pPr>
        <w:spacing w:after="0" w:line="240" w:lineRule="auto"/>
        <w:jc w:val="center"/>
        <w:rPr>
          <w:rFonts w:ascii="Times New Roman" w:hAnsi="Times New Roman"/>
          <w:b/>
          <w:lang w:val="uk-UA"/>
        </w:rPr>
      </w:pPr>
      <w:r w:rsidRPr="005C3842">
        <w:rPr>
          <w:rFonts w:ascii="Times New Roman" w:hAnsi="Times New Roman"/>
          <w:b/>
          <w:lang w:val="uk-UA"/>
        </w:rPr>
        <w:t>ТЕХНІЧНІ ВИМОГИ</w:t>
      </w:r>
    </w:p>
    <w:p w:rsidR="00214E6A" w:rsidRPr="005C3842" w:rsidRDefault="00214E6A" w:rsidP="005C3842">
      <w:pPr>
        <w:spacing w:after="0" w:line="240" w:lineRule="auto"/>
        <w:jc w:val="center"/>
        <w:rPr>
          <w:rFonts w:ascii="Times New Roman" w:hAnsi="Times New Roman"/>
          <w:b/>
          <w:lang w:val="uk-UA"/>
        </w:rPr>
      </w:pPr>
      <w:r w:rsidRPr="005C3842">
        <w:rPr>
          <w:rFonts w:ascii="Times New Roman" w:hAnsi="Times New Roman"/>
          <w:b/>
          <w:lang w:val="uk-UA"/>
        </w:rPr>
        <w:t>Технічні, якісні та кількісні характеристики</w:t>
      </w:r>
    </w:p>
    <w:p w:rsidR="00214E6A" w:rsidRPr="005C3842" w:rsidRDefault="00214E6A" w:rsidP="005C3842">
      <w:pPr>
        <w:spacing w:after="0" w:line="240" w:lineRule="auto"/>
        <w:ind w:hanging="360"/>
        <w:jc w:val="center"/>
        <w:rPr>
          <w:rFonts w:ascii="Times New Roman" w:hAnsi="Times New Roman"/>
          <w:b/>
        </w:rPr>
      </w:pPr>
      <w:r w:rsidRPr="005C3842">
        <w:rPr>
          <w:rFonts w:ascii="Times New Roman" w:hAnsi="Times New Roman"/>
          <w:b/>
        </w:rPr>
        <w:t>44830000-7- Мастики, шпаклівки, замазки та розчинники за ДК 021:2015 Єдиного закупівельного словника: Праймер бітумний-каучуковий,  суміш армуюча, ґрунтовка, відповідний код - 44831000-4</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214E6A" w:rsidRPr="005C3842" w:rsidTr="00126ADF">
        <w:tc>
          <w:tcPr>
            <w:tcW w:w="10800" w:type="dxa"/>
            <w:vAlign w:val="center"/>
          </w:tcPr>
          <w:p w:rsidR="00214E6A" w:rsidRPr="005C3842" w:rsidRDefault="00214E6A" w:rsidP="005C3842">
            <w:pPr>
              <w:spacing w:after="0" w:line="240" w:lineRule="auto"/>
              <w:jc w:val="center"/>
              <w:rPr>
                <w:rFonts w:ascii="Times New Roman" w:hAnsi="Times New Roman"/>
                <w:b/>
                <w:bCs/>
                <w:noProof/>
              </w:rPr>
            </w:pPr>
            <w:r w:rsidRPr="005C3842">
              <w:rPr>
                <w:rFonts w:ascii="Times New Roman" w:hAnsi="Times New Roman"/>
                <w:b/>
                <w:bCs/>
                <w:noProof/>
              </w:rPr>
              <w:t>Вимоги Замовника</w:t>
            </w:r>
          </w:p>
        </w:tc>
      </w:tr>
      <w:tr w:rsidR="00214E6A" w:rsidRPr="005C3842" w:rsidTr="00126ADF">
        <w:trPr>
          <w:trHeight w:val="1519"/>
        </w:trPr>
        <w:tc>
          <w:tcPr>
            <w:tcW w:w="10800" w:type="dxa"/>
          </w:tcPr>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noProof/>
              </w:rPr>
              <w:t xml:space="preserve">1. До ціни тендерної пропозиції включаються наступні витрати: </w:t>
            </w:r>
          </w:p>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noProof/>
              </w:rPr>
              <w:t>- податки і збори, обов’язкові платежі, що сплачуються або мають бути сплачені згідно з чинним законодавством;</w:t>
            </w:r>
          </w:p>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noProof/>
              </w:rPr>
              <w:t xml:space="preserve">- витрати на поставку (передачу) товару до місця поставки (передачі) товару; </w:t>
            </w:r>
          </w:p>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noProof/>
              </w:rPr>
              <w:t>- інші витрати, передбачені для товару даного виду згідно з чинним законодавством та тендерною документацією.</w:t>
            </w:r>
          </w:p>
        </w:tc>
      </w:tr>
      <w:tr w:rsidR="00214E6A" w:rsidRPr="005C3842" w:rsidTr="00126ADF">
        <w:trPr>
          <w:trHeight w:val="749"/>
        </w:trPr>
        <w:tc>
          <w:tcPr>
            <w:tcW w:w="10800" w:type="dxa"/>
          </w:tcPr>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color w:val="000000"/>
              </w:rPr>
              <w:t xml:space="preserve">2. </w:t>
            </w:r>
            <w:r w:rsidRPr="005C3842">
              <w:rPr>
                <w:rFonts w:ascii="Times New Roman" w:hAnsi="Times New Roman"/>
                <w:noProof/>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tc>
      </w:tr>
      <w:tr w:rsidR="00214E6A" w:rsidRPr="005C3842" w:rsidTr="00126ADF">
        <w:trPr>
          <w:trHeight w:val="1519"/>
        </w:trPr>
        <w:tc>
          <w:tcPr>
            <w:tcW w:w="10800" w:type="dxa"/>
          </w:tcPr>
          <w:p w:rsidR="00214E6A" w:rsidRPr="005C3842" w:rsidRDefault="00214E6A" w:rsidP="005C3842">
            <w:pPr>
              <w:spacing w:after="0" w:line="240" w:lineRule="auto"/>
              <w:contextualSpacing/>
              <w:jc w:val="both"/>
              <w:rPr>
                <w:rFonts w:ascii="Times New Roman" w:hAnsi="Times New Roman"/>
                <w:noProof/>
              </w:rPr>
            </w:pPr>
            <w:r w:rsidRPr="005C3842">
              <w:rPr>
                <w:rFonts w:ascii="Times New Roman" w:hAnsi="Times New Roman"/>
                <w:noProof/>
              </w:rPr>
              <w:t>3. Поставка (передача) товару здійснюється на об'єкт Замовника у строк та порядку визначеними умовами договору.</w:t>
            </w:r>
          </w:p>
          <w:p w:rsidR="00214E6A" w:rsidRPr="005C3842" w:rsidRDefault="00214E6A" w:rsidP="005C3842">
            <w:pPr>
              <w:spacing w:after="0" w:line="240" w:lineRule="auto"/>
              <w:jc w:val="both"/>
              <w:rPr>
                <w:rFonts w:ascii="Times New Roman" w:hAnsi="Times New Roman"/>
                <w:color w:val="000000"/>
                <w:lang w:eastAsia="uk-UA"/>
              </w:rPr>
            </w:pPr>
            <w:r w:rsidRPr="005C3842">
              <w:rPr>
                <w:rFonts w:ascii="Times New Roman" w:hAnsi="Times New Roman"/>
              </w:rPr>
              <w:t>Учасник зобов’язаний поставити Товар Покупцю транспортом постачальника та за рахунок постачальника безпосередньо на адресу вказану Замовником.</w:t>
            </w:r>
          </w:p>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noProof/>
              </w:rPr>
              <w:t xml:space="preserve">Товар повинен відповідати діючим Державним стандартам (ДСТУ/ ГОСТ) </w:t>
            </w:r>
            <w:r w:rsidRPr="005C3842">
              <w:rPr>
                <w:rFonts w:ascii="Times New Roman" w:hAnsi="Times New Roman"/>
                <w:bCs/>
                <w:noProof/>
              </w:rPr>
              <w:t xml:space="preserve">та іншим діючим нормативам, </w:t>
            </w:r>
            <w:r w:rsidRPr="005C3842">
              <w:rPr>
                <w:rFonts w:ascii="Times New Roman" w:hAnsi="Times New Roman"/>
                <w:noProof/>
              </w:rPr>
              <w:t>що має бути підтверджено в Тендерній пропозиції Учасника копіями паспортів якості, сертифікатами або іншими документами.</w:t>
            </w:r>
          </w:p>
        </w:tc>
      </w:tr>
      <w:tr w:rsidR="00214E6A" w:rsidRPr="005C3842" w:rsidTr="00126ADF">
        <w:trPr>
          <w:trHeight w:val="247"/>
        </w:trPr>
        <w:tc>
          <w:tcPr>
            <w:tcW w:w="10800" w:type="dxa"/>
          </w:tcPr>
          <w:p w:rsidR="00214E6A" w:rsidRPr="005C3842" w:rsidRDefault="00214E6A" w:rsidP="005C3842">
            <w:pPr>
              <w:spacing w:after="0" w:line="240" w:lineRule="auto"/>
              <w:rPr>
                <w:rFonts w:ascii="Times New Roman" w:hAnsi="Times New Roman"/>
                <w:noProof/>
              </w:rPr>
            </w:pPr>
            <w:r w:rsidRPr="005C3842">
              <w:rPr>
                <w:rFonts w:ascii="Times New Roman" w:hAnsi="Times New Roman"/>
                <w:noProof/>
              </w:rPr>
              <w:t>4. Товар повинен бути новим та таким, що не було у використанні та не було відновленим.</w:t>
            </w:r>
          </w:p>
        </w:tc>
      </w:tr>
      <w:tr w:rsidR="00214E6A" w:rsidRPr="005C3842" w:rsidTr="00126ADF">
        <w:tc>
          <w:tcPr>
            <w:tcW w:w="10800" w:type="dxa"/>
          </w:tcPr>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noProof/>
              </w:rPr>
              <w:t>5. Поставка Товару Замовнику повинна передбачати дотримання вимог щодо охорони довкілля.</w:t>
            </w:r>
          </w:p>
        </w:tc>
      </w:tr>
      <w:tr w:rsidR="00214E6A" w:rsidRPr="005C3842" w:rsidTr="00126ADF">
        <w:tc>
          <w:tcPr>
            <w:tcW w:w="10800" w:type="dxa"/>
          </w:tcPr>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bCs/>
                <w:noProof/>
              </w:rPr>
              <w:t xml:space="preserve">6. Учасник повинен у довільній формі надати </w:t>
            </w:r>
            <w:r w:rsidRPr="005C3842">
              <w:rPr>
                <w:rFonts w:ascii="Times New Roman" w:hAnsi="Times New Roman"/>
                <w:noProof/>
              </w:rPr>
              <w:t>інформацію про виробників Товару.</w:t>
            </w:r>
          </w:p>
        </w:tc>
      </w:tr>
      <w:tr w:rsidR="00214E6A" w:rsidRPr="005C3842" w:rsidTr="00126ADF">
        <w:trPr>
          <w:trHeight w:val="360"/>
        </w:trPr>
        <w:tc>
          <w:tcPr>
            <w:tcW w:w="10800" w:type="dxa"/>
          </w:tcPr>
          <w:p w:rsidR="00214E6A" w:rsidRPr="005C3842" w:rsidRDefault="00214E6A" w:rsidP="005C3842">
            <w:pPr>
              <w:spacing w:after="0" w:line="240" w:lineRule="auto"/>
              <w:rPr>
                <w:rFonts w:ascii="Times New Roman" w:hAnsi="Times New Roman"/>
              </w:rPr>
            </w:pPr>
            <w:r w:rsidRPr="005C3842">
              <w:rPr>
                <w:rFonts w:ascii="Times New Roman" w:hAnsi="Times New Roman"/>
                <w:bCs/>
                <w:noProof/>
              </w:rPr>
              <w:t xml:space="preserve">7. Учасник повинен забезпечити контроль якості кожної партії Товару, що постачається та своєчасну заміну неякісного Товару якісним. </w:t>
            </w:r>
            <w:r w:rsidRPr="005C3842">
              <w:rPr>
                <w:rFonts w:ascii="Times New Roman" w:hAnsi="Times New Roman"/>
              </w:rPr>
              <w:t>Термін заміни неякісного товару – протягом 2 робочих днів з дати встановлення невідповідності. Постачальник проводить заміну неякісного товару на якісний за свій рахунок відповідно чинного законодавства України.</w:t>
            </w:r>
          </w:p>
          <w:p w:rsidR="00214E6A" w:rsidRPr="005C3842" w:rsidRDefault="00214E6A" w:rsidP="005C3842">
            <w:pPr>
              <w:spacing w:after="0" w:line="240" w:lineRule="auto"/>
              <w:jc w:val="both"/>
              <w:rPr>
                <w:rFonts w:ascii="Times New Roman" w:hAnsi="Times New Roman"/>
                <w:noProof/>
              </w:rPr>
            </w:pPr>
            <w:r w:rsidRPr="005C3842">
              <w:rPr>
                <w:rFonts w:ascii="Times New Roman" w:hAnsi="Times New Roman"/>
                <w:noProof/>
              </w:rPr>
              <w:t xml:space="preserve"> У разі виникнення суперечностей щодо якості  Товару  спір  вирішується у порядку,  передбаченому  чинним законодавством України (на підтвердження надається гарантійний лист).</w:t>
            </w:r>
          </w:p>
        </w:tc>
      </w:tr>
      <w:tr w:rsidR="00214E6A" w:rsidRPr="005C3842" w:rsidTr="00126ADF">
        <w:tc>
          <w:tcPr>
            <w:tcW w:w="10800" w:type="dxa"/>
          </w:tcPr>
          <w:p w:rsidR="00214E6A" w:rsidRPr="005C3842" w:rsidRDefault="00214E6A" w:rsidP="005C3842">
            <w:pPr>
              <w:spacing w:after="0" w:line="240" w:lineRule="auto"/>
              <w:rPr>
                <w:rFonts w:ascii="Times New Roman" w:hAnsi="Times New Roman"/>
                <w:color w:val="000000"/>
                <w:lang w:eastAsia="uk-UA"/>
              </w:rPr>
            </w:pPr>
            <w:r w:rsidRPr="005C3842">
              <w:rPr>
                <w:rFonts w:ascii="Times New Roman" w:hAnsi="Times New Roman"/>
                <w:bCs/>
                <w:noProof/>
              </w:rPr>
              <w:t>8.</w:t>
            </w:r>
            <w:r w:rsidRPr="005C3842">
              <w:rPr>
                <w:rFonts w:ascii="Times New Roman" w:hAnsi="Times New Roman"/>
              </w:rPr>
              <w:t xml:space="preserve">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tc>
      </w:tr>
      <w:tr w:rsidR="00214E6A" w:rsidRPr="005C3842" w:rsidTr="00126ADF">
        <w:tc>
          <w:tcPr>
            <w:tcW w:w="10800" w:type="dxa"/>
          </w:tcPr>
          <w:p w:rsidR="00214E6A" w:rsidRPr="005C3842" w:rsidRDefault="00214E6A" w:rsidP="005C3842">
            <w:pPr>
              <w:spacing w:after="0" w:line="240" w:lineRule="auto"/>
              <w:jc w:val="both"/>
              <w:rPr>
                <w:rFonts w:ascii="Times New Roman" w:hAnsi="Times New Roman"/>
                <w:noProof/>
                <w:highlight w:val="yellow"/>
              </w:rPr>
            </w:pPr>
            <w:r w:rsidRPr="005C3842">
              <w:rPr>
                <w:rFonts w:ascii="Times New Roman" w:hAnsi="Times New Roman"/>
              </w:rPr>
              <w:t>9. Вимоги до гарантійного терміну та обсягом надання гарантій якості Товару. На Товар, що поставляється, встановлено гарантійний строк, який дорівнює терміну, встановленого заводом виробником, згідно паспорту на поставлений Товар. Гарантійний термін обчислюється з дати підписання Акту про приймання товару. Якщо протягом гарантійного терміну буде виявлено, що Товар не відповідає вимогам Договору, Постачальник зобов'язаний вжити заходи щодо усунення порушень зазначених вимог. Усунення порушень має бути завершено не пізніше 10 (десяти) календарних днів з дати надходження письмового повідомлення від Замовника силами і за рахунок Постачальника.</w:t>
            </w:r>
          </w:p>
        </w:tc>
      </w:tr>
    </w:tbl>
    <w:p w:rsidR="00214E6A" w:rsidRPr="005C3842" w:rsidRDefault="00214E6A" w:rsidP="005C3842">
      <w:pPr>
        <w:spacing w:after="0" w:line="240" w:lineRule="auto"/>
        <w:jc w:val="center"/>
        <w:rPr>
          <w:rFonts w:ascii="Times New Roman" w:hAnsi="Times New Roman"/>
          <w:b/>
          <w:i/>
          <w:noProof/>
        </w:rPr>
      </w:pPr>
    </w:p>
    <w:tbl>
      <w:tblPr>
        <w:tblW w:w="10787" w:type="dxa"/>
        <w:tblInd w:w="-432" w:type="dxa"/>
        <w:tblLook w:val="00A0"/>
      </w:tblPr>
      <w:tblGrid>
        <w:gridCol w:w="438"/>
        <w:gridCol w:w="2383"/>
        <w:gridCol w:w="5819"/>
        <w:gridCol w:w="1067"/>
        <w:gridCol w:w="1080"/>
      </w:tblGrid>
      <w:tr w:rsidR="00214E6A" w:rsidRPr="005C3842" w:rsidTr="00126ADF">
        <w:trPr>
          <w:trHeight w:val="300"/>
        </w:trPr>
        <w:tc>
          <w:tcPr>
            <w:tcW w:w="438" w:type="dxa"/>
            <w:tcBorders>
              <w:top w:val="single" w:sz="4" w:space="0" w:color="auto"/>
              <w:left w:val="single" w:sz="4" w:space="0" w:color="auto"/>
              <w:bottom w:val="single" w:sz="4" w:space="0" w:color="auto"/>
              <w:right w:val="nil"/>
            </w:tcBorders>
            <w:shd w:val="clear" w:color="000000" w:fill="FFFFFF"/>
          </w:tcPr>
          <w:p w:rsidR="00214E6A" w:rsidRPr="005C3842" w:rsidRDefault="00214E6A" w:rsidP="005C3842">
            <w:pPr>
              <w:spacing w:after="0" w:line="240" w:lineRule="auto"/>
              <w:rPr>
                <w:rFonts w:ascii="Times New Roman" w:hAnsi="Times New Roman"/>
                <w:b/>
              </w:rPr>
            </w:pPr>
            <w:r w:rsidRPr="005C3842">
              <w:rPr>
                <w:rFonts w:ascii="Times New Roman" w:hAnsi="Times New Roman"/>
                <w:b/>
              </w:rPr>
              <w:t>№</w:t>
            </w:r>
          </w:p>
        </w:tc>
        <w:tc>
          <w:tcPr>
            <w:tcW w:w="2383" w:type="dxa"/>
            <w:tcBorders>
              <w:top w:val="single" w:sz="4" w:space="0" w:color="auto"/>
              <w:left w:val="single" w:sz="4" w:space="0" w:color="auto"/>
              <w:bottom w:val="single" w:sz="4" w:space="0" w:color="auto"/>
              <w:right w:val="nil"/>
            </w:tcBorders>
            <w:shd w:val="clear" w:color="000000" w:fill="FFFFFF"/>
            <w:vAlign w:val="center"/>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b/>
              </w:rPr>
              <w:t>Найменування товару</w:t>
            </w:r>
          </w:p>
        </w:tc>
        <w:tc>
          <w:tcPr>
            <w:tcW w:w="5819" w:type="dxa"/>
            <w:tcBorders>
              <w:top w:val="single" w:sz="4" w:space="0" w:color="auto"/>
              <w:left w:val="single" w:sz="4" w:space="0" w:color="auto"/>
              <w:bottom w:val="single" w:sz="4" w:space="0" w:color="auto"/>
              <w:right w:val="nil"/>
            </w:tcBorders>
            <w:shd w:val="clear" w:color="000000" w:fill="FFFFFF"/>
            <w:vAlign w:val="center"/>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b/>
              </w:rPr>
              <w:t>Технічні та якісні характеристики товару</w:t>
            </w:r>
          </w:p>
        </w:tc>
        <w:tc>
          <w:tcPr>
            <w:tcW w:w="1067" w:type="dxa"/>
            <w:tcBorders>
              <w:top w:val="single" w:sz="4" w:space="0" w:color="auto"/>
              <w:left w:val="single" w:sz="4" w:space="0" w:color="auto"/>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b/>
              </w:rPr>
              <w:t>Од. виміру</w:t>
            </w:r>
          </w:p>
        </w:tc>
        <w:tc>
          <w:tcPr>
            <w:tcW w:w="1080" w:type="dxa"/>
            <w:tcBorders>
              <w:top w:val="single" w:sz="4" w:space="0" w:color="auto"/>
              <w:left w:val="nil"/>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b/>
              </w:rPr>
              <w:t>К-ть</w:t>
            </w:r>
          </w:p>
        </w:tc>
      </w:tr>
      <w:tr w:rsidR="00214E6A" w:rsidRPr="005C3842" w:rsidTr="00126ADF">
        <w:trPr>
          <w:trHeight w:val="300"/>
        </w:trPr>
        <w:tc>
          <w:tcPr>
            <w:tcW w:w="438" w:type="dxa"/>
            <w:tcBorders>
              <w:top w:val="single" w:sz="4" w:space="0" w:color="auto"/>
              <w:left w:val="single" w:sz="4" w:space="0" w:color="auto"/>
              <w:bottom w:val="single" w:sz="4" w:space="0" w:color="auto"/>
              <w:right w:val="nil"/>
            </w:tcBorders>
            <w:vAlign w:val="center"/>
          </w:tcPr>
          <w:p w:rsidR="00214E6A" w:rsidRPr="005C3842" w:rsidRDefault="00214E6A" w:rsidP="005C3842">
            <w:pPr>
              <w:spacing w:after="0" w:line="240" w:lineRule="auto"/>
              <w:contextualSpacing/>
              <w:rPr>
                <w:rFonts w:ascii="Times New Roman" w:hAnsi="Times New Roman"/>
                <w:lang w:val="en-US"/>
              </w:rPr>
            </w:pPr>
            <w:r w:rsidRPr="005C3842">
              <w:rPr>
                <w:rFonts w:ascii="Times New Roman" w:hAnsi="Times New Roman"/>
                <w:lang w:val="en-US"/>
              </w:rPr>
              <w:t>1</w:t>
            </w:r>
          </w:p>
        </w:tc>
        <w:tc>
          <w:tcPr>
            <w:tcW w:w="2383" w:type="dxa"/>
            <w:tcBorders>
              <w:top w:val="single" w:sz="4" w:space="0" w:color="auto"/>
              <w:left w:val="single" w:sz="4" w:space="0" w:color="auto"/>
              <w:bottom w:val="single" w:sz="4" w:space="0" w:color="auto"/>
              <w:right w:val="nil"/>
            </w:tcBorders>
          </w:tcPr>
          <w:p w:rsidR="00214E6A" w:rsidRPr="005C3842" w:rsidRDefault="00214E6A" w:rsidP="005C3842">
            <w:pPr>
              <w:spacing w:after="0" w:line="240" w:lineRule="auto"/>
              <w:jc w:val="both"/>
              <w:rPr>
                <w:rFonts w:ascii="Times New Roman" w:hAnsi="Times New Roman"/>
                <w:lang w:val="en-US"/>
              </w:rPr>
            </w:pPr>
            <w:r w:rsidRPr="005C3842">
              <w:rPr>
                <w:rFonts w:ascii="Times New Roman" w:hAnsi="Times New Roman"/>
              </w:rPr>
              <w:t>Праймер</w:t>
            </w:r>
            <w:r w:rsidRPr="005C3842">
              <w:rPr>
                <w:rFonts w:ascii="Times New Roman" w:hAnsi="Times New Roman"/>
                <w:lang w:val="en-US"/>
              </w:rPr>
              <w:t xml:space="preserve"> </w:t>
            </w:r>
            <w:r w:rsidRPr="005C3842">
              <w:rPr>
                <w:rFonts w:ascii="Times New Roman" w:hAnsi="Times New Roman"/>
              </w:rPr>
              <w:t>битумно</w:t>
            </w:r>
            <w:r w:rsidRPr="005C3842">
              <w:rPr>
                <w:rFonts w:ascii="Times New Roman" w:hAnsi="Times New Roman"/>
                <w:lang w:val="en-US"/>
              </w:rPr>
              <w:t>-</w:t>
            </w:r>
            <w:r w:rsidRPr="005C3842">
              <w:rPr>
                <w:rFonts w:ascii="Times New Roman" w:hAnsi="Times New Roman"/>
              </w:rPr>
              <w:t>каучуковий</w:t>
            </w:r>
            <w:r w:rsidRPr="005C3842">
              <w:rPr>
                <w:rFonts w:ascii="Times New Roman" w:hAnsi="Times New Roman"/>
                <w:lang w:val="en-US"/>
              </w:rPr>
              <w:t xml:space="preserve"> (18</w:t>
            </w:r>
            <w:r w:rsidRPr="005C3842">
              <w:rPr>
                <w:rFonts w:ascii="Times New Roman" w:hAnsi="Times New Roman"/>
              </w:rPr>
              <w:t>л</w:t>
            </w:r>
            <w:r w:rsidRPr="005C3842">
              <w:rPr>
                <w:rFonts w:ascii="Times New Roman" w:hAnsi="Times New Roman"/>
                <w:lang w:val="en-US"/>
              </w:rPr>
              <w:t>) BITUGUM</w:t>
            </w:r>
          </w:p>
        </w:tc>
        <w:tc>
          <w:tcPr>
            <w:tcW w:w="5819" w:type="dxa"/>
            <w:tcBorders>
              <w:top w:val="single" w:sz="4" w:space="0" w:color="auto"/>
              <w:left w:val="single" w:sz="4" w:space="0" w:color="auto"/>
              <w:bottom w:val="single" w:sz="4" w:space="0" w:color="auto"/>
              <w:right w:val="nil"/>
            </w:tcBorders>
          </w:tcPr>
          <w:p w:rsidR="00214E6A" w:rsidRPr="005C3842" w:rsidRDefault="00214E6A" w:rsidP="005C3842">
            <w:pPr>
              <w:spacing w:after="0" w:line="240" w:lineRule="auto"/>
              <w:jc w:val="both"/>
              <w:rPr>
                <w:rFonts w:ascii="Times New Roman" w:hAnsi="Times New Roman"/>
                <w:lang w:val="en-US"/>
              </w:rPr>
            </w:pPr>
            <w:r w:rsidRPr="005C3842">
              <w:rPr>
                <w:rFonts w:ascii="Times New Roman" w:hAnsi="Times New Roman"/>
              </w:rPr>
              <w:t>повинен</w:t>
            </w:r>
            <w:r w:rsidRPr="005C3842">
              <w:rPr>
                <w:rFonts w:ascii="Times New Roman" w:hAnsi="Times New Roman"/>
                <w:lang w:val="en-US"/>
              </w:rPr>
              <w:t xml:space="preserve"> </w:t>
            </w:r>
            <w:r w:rsidRPr="005C3842">
              <w:rPr>
                <w:rFonts w:ascii="Times New Roman" w:hAnsi="Times New Roman"/>
              </w:rPr>
              <w:t>бути</w:t>
            </w:r>
            <w:r w:rsidRPr="005C3842">
              <w:rPr>
                <w:rFonts w:ascii="Times New Roman" w:hAnsi="Times New Roman"/>
                <w:lang w:val="en-US"/>
              </w:rPr>
              <w:t xml:space="preserve"> </w:t>
            </w:r>
            <w:r w:rsidRPr="005C3842">
              <w:rPr>
                <w:rFonts w:ascii="Times New Roman" w:hAnsi="Times New Roman"/>
              </w:rPr>
              <w:t>у</w:t>
            </w:r>
            <w:r w:rsidRPr="005C3842">
              <w:rPr>
                <w:rFonts w:ascii="Times New Roman" w:hAnsi="Times New Roman"/>
                <w:lang w:val="en-US"/>
              </w:rPr>
              <w:t xml:space="preserve"> </w:t>
            </w:r>
            <w:r w:rsidRPr="005C3842">
              <w:rPr>
                <w:rFonts w:ascii="Times New Roman" w:hAnsi="Times New Roman"/>
              </w:rPr>
              <w:t>фірмовому</w:t>
            </w:r>
            <w:r w:rsidRPr="005C3842">
              <w:rPr>
                <w:rFonts w:ascii="Times New Roman" w:hAnsi="Times New Roman"/>
                <w:lang w:val="en-US"/>
              </w:rPr>
              <w:t xml:space="preserve"> (</w:t>
            </w:r>
            <w:r w:rsidRPr="005C3842">
              <w:rPr>
                <w:rFonts w:ascii="Times New Roman" w:hAnsi="Times New Roman"/>
              </w:rPr>
              <w:t>від</w:t>
            </w:r>
            <w:r w:rsidRPr="005C3842">
              <w:rPr>
                <w:rFonts w:ascii="Times New Roman" w:hAnsi="Times New Roman"/>
                <w:lang w:val="en-US"/>
              </w:rPr>
              <w:t xml:space="preserve"> </w:t>
            </w:r>
            <w:r w:rsidRPr="005C3842">
              <w:rPr>
                <w:rFonts w:ascii="Times New Roman" w:hAnsi="Times New Roman"/>
              </w:rPr>
              <w:t>заводу</w:t>
            </w:r>
            <w:r w:rsidRPr="005C3842">
              <w:rPr>
                <w:rFonts w:ascii="Times New Roman" w:hAnsi="Times New Roman"/>
                <w:lang w:val="en-US"/>
              </w:rPr>
              <w:t xml:space="preserve"> </w:t>
            </w:r>
            <w:r w:rsidRPr="005C3842">
              <w:rPr>
                <w:rFonts w:ascii="Times New Roman" w:hAnsi="Times New Roman"/>
              </w:rPr>
              <w:t>виробника</w:t>
            </w:r>
            <w:r w:rsidRPr="005C3842">
              <w:rPr>
                <w:rFonts w:ascii="Times New Roman" w:hAnsi="Times New Roman"/>
                <w:lang w:val="en-US"/>
              </w:rPr>
              <w:t xml:space="preserve">) </w:t>
            </w:r>
            <w:r w:rsidRPr="005C3842">
              <w:rPr>
                <w:rFonts w:ascii="Times New Roman" w:hAnsi="Times New Roman"/>
              </w:rPr>
              <w:t>герметичному</w:t>
            </w:r>
            <w:r w:rsidRPr="005C3842">
              <w:rPr>
                <w:rFonts w:ascii="Times New Roman" w:hAnsi="Times New Roman"/>
                <w:lang w:val="en-US"/>
              </w:rPr>
              <w:t xml:space="preserve"> </w:t>
            </w:r>
            <w:r w:rsidRPr="005C3842">
              <w:rPr>
                <w:rFonts w:ascii="Times New Roman" w:hAnsi="Times New Roman"/>
              </w:rPr>
              <w:t>відрі</w:t>
            </w:r>
            <w:r w:rsidRPr="005C3842">
              <w:rPr>
                <w:rFonts w:ascii="Times New Roman" w:hAnsi="Times New Roman"/>
                <w:lang w:val="en-US"/>
              </w:rPr>
              <w:t xml:space="preserve"> </w:t>
            </w:r>
            <w:smartTag w:uri="urn:schemas-microsoft-com:office:smarttags" w:element="metricconverter">
              <w:smartTagPr>
                <w:attr w:name="ProductID" w:val="18 л"/>
              </w:smartTagPr>
              <w:r w:rsidRPr="005C3842">
                <w:rPr>
                  <w:rFonts w:ascii="Times New Roman" w:hAnsi="Times New Roman"/>
                  <w:lang w:val="en-US"/>
                </w:rPr>
                <w:t xml:space="preserve">18 </w:t>
              </w:r>
              <w:r w:rsidRPr="005C3842">
                <w:rPr>
                  <w:rFonts w:ascii="Times New Roman" w:hAnsi="Times New Roman"/>
                </w:rPr>
                <w:t>л</w:t>
              </w:r>
            </w:smartTag>
            <w:r w:rsidRPr="005C3842">
              <w:rPr>
                <w:rFonts w:ascii="Times New Roman" w:hAnsi="Times New Roman"/>
                <w:lang w:val="en-US"/>
              </w:rPr>
              <w:t xml:space="preserve">; </w:t>
            </w:r>
            <w:r w:rsidRPr="005C3842">
              <w:rPr>
                <w:rFonts w:ascii="Times New Roman" w:hAnsi="Times New Roman"/>
              </w:rPr>
              <w:t>міцність</w:t>
            </w:r>
            <w:r w:rsidRPr="005C3842">
              <w:rPr>
                <w:rFonts w:ascii="Times New Roman" w:hAnsi="Times New Roman"/>
                <w:lang w:val="en-US"/>
              </w:rPr>
              <w:t xml:space="preserve"> </w:t>
            </w:r>
            <w:r w:rsidRPr="005C3842">
              <w:rPr>
                <w:rFonts w:ascii="Times New Roman" w:hAnsi="Times New Roman"/>
              </w:rPr>
              <w:t>зчеплення</w:t>
            </w:r>
            <w:r w:rsidRPr="005C3842">
              <w:rPr>
                <w:rFonts w:ascii="Times New Roman" w:hAnsi="Times New Roman"/>
                <w:lang w:val="en-US"/>
              </w:rPr>
              <w:t xml:space="preserve"> </w:t>
            </w:r>
            <w:r w:rsidRPr="005C3842">
              <w:rPr>
                <w:rFonts w:ascii="Times New Roman" w:hAnsi="Times New Roman"/>
              </w:rPr>
              <w:t>з</w:t>
            </w:r>
            <w:r w:rsidRPr="005C3842">
              <w:rPr>
                <w:rFonts w:ascii="Times New Roman" w:hAnsi="Times New Roman"/>
                <w:lang w:val="en-US"/>
              </w:rPr>
              <w:t xml:space="preserve"> </w:t>
            </w:r>
            <w:r w:rsidRPr="005C3842">
              <w:rPr>
                <w:rFonts w:ascii="Times New Roman" w:hAnsi="Times New Roman"/>
              </w:rPr>
              <w:t>бетонною</w:t>
            </w:r>
            <w:r w:rsidRPr="005C3842">
              <w:rPr>
                <w:rFonts w:ascii="Times New Roman" w:hAnsi="Times New Roman"/>
                <w:lang w:val="en-US"/>
              </w:rPr>
              <w:t xml:space="preserve"> </w:t>
            </w:r>
            <w:r w:rsidRPr="005C3842">
              <w:rPr>
                <w:rFonts w:ascii="Times New Roman" w:hAnsi="Times New Roman"/>
              </w:rPr>
              <w:t>основою</w:t>
            </w:r>
            <w:r w:rsidRPr="005C3842">
              <w:rPr>
                <w:rFonts w:ascii="Times New Roman" w:hAnsi="Times New Roman"/>
                <w:lang w:val="en-US"/>
              </w:rPr>
              <w:t xml:space="preserve"> </w:t>
            </w:r>
            <w:r w:rsidRPr="005C3842">
              <w:rPr>
                <w:rFonts w:ascii="Times New Roman" w:hAnsi="Times New Roman"/>
              </w:rPr>
              <w:t>не</w:t>
            </w:r>
            <w:r w:rsidRPr="005C3842">
              <w:rPr>
                <w:rFonts w:ascii="Times New Roman" w:hAnsi="Times New Roman"/>
                <w:lang w:val="en-US"/>
              </w:rPr>
              <w:t xml:space="preserve"> </w:t>
            </w:r>
            <w:r w:rsidRPr="005C3842">
              <w:rPr>
                <w:rFonts w:ascii="Times New Roman" w:hAnsi="Times New Roman"/>
              </w:rPr>
              <w:t>менше</w:t>
            </w:r>
            <w:r w:rsidRPr="005C3842">
              <w:rPr>
                <w:rFonts w:ascii="Times New Roman" w:hAnsi="Times New Roman"/>
                <w:lang w:val="en-US"/>
              </w:rPr>
              <w:t xml:space="preserve"> 0,2-0,3</w:t>
            </w:r>
            <w:r w:rsidRPr="005C3842">
              <w:rPr>
                <w:rFonts w:ascii="Times New Roman" w:hAnsi="Times New Roman"/>
              </w:rPr>
              <w:t>МПа</w:t>
            </w:r>
            <w:r w:rsidRPr="005C3842">
              <w:rPr>
                <w:rFonts w:ascii="Times New Roman" w:hAnsi="Times New Roman"/>
                <w:lang w:val="en-US"/>
              </w:rPr>
              <w:t xml:space="preserve">, </w:t>
            </w:r>
            <w:r w:rsidRPr="005C3842">
              <w:rPr>
                <w:rFonts w:ascii="Times New Roman" w:hAnsi="Times New Roman"/>
              </w:rPr>
              <w:t>термостійкість</w:t>
            </w:r>
            <w:r w:rsidRPr="005C3842">
              <w:rPr>
                <w:rFonts w:ascii="Times New Roman" w:hAnsi="Times New Roman"/>
                <w:lang w:val="en-US"/>
              </w:rPr>
              <w:t xml:space="preserve"> </w:t>
            </w:r>
            <w:r w:rsidRPr="005C3842">
              <w:rPr>
                <w:rFonts w:ascii="Times New Roman" w:hAnsi="Times New Roman"/>
                <w:u w:val="single"/>
                <w:lang w:val="en-US"/>
              </w:rPr>
              <w:t>+</w:t>
            </w:r>
            <w:r w:rsidRPr="005C3842">
              <w:rPr>
                <w:rFonts w:ascii="Times New Roman" w:hAnsi="Times New Roman"/>
                <w:lang w:val="en-US"/>
              </w:rPr>
              <w:t xml:space="preserve"> 70 </w:t>
            </w:r>
            <w:r w:rsidRPr="005C3842">
              <w:rPr>
                <w:rFonts w:ascii="Times New Roman" w:hAnsi="Times New Roman"/>
              </w:rPr>
              <w:t>С</w:t>
            </w:r>
            <w:r w:rsidRPr="005C3842">
              <w:rPr>
                <w:rFonts w:ascii="Times New Roman" w:hAnsi="Times New Roman"/>
                <w:lang w:val="en-US"/>
              </w:rPr>
              <w:t xml:space="preserve">, </w:t>
            </w:r>
            <w:r w:rsidRPr="005C3842">
              <w:rPr>
                <w:rFonts w:ascii="Times New Roman" w:hAnsi="Times New Roman"/>
              </w:rPr>
              <w:t>масова</w:t>
            </w:r>
            <w:r w:rsidRPr="005C3842">
              <w:rPr>
                <w:rFonts w:ascii="Times New Roman" w:hAnsi="Times New Roman"/>
                <w:lang w:val="en-US"/>
              </w:rPr>
              <w:t xml:space="preserve"> </w:t>
            </w:r>
            <w:r w:rsidRPr="005C3842">
              <w:rPr>
                <w:rFonts w:ascii="Times New Roman" w:hAnsi="Times New Roman"/>
              </w:rPr>
              <w:t>частка</w:t>
            </w:r>
            <w:r w:rsidRPr="005C3842">
              <w:rPr>
                <w:rFonts w:ascii="Times New Roman" w:hAnsi="Times New Roman"/>
                <w:lang w:val="en-US"/>
              </w:rPr>
              <w:t xml:space="preserve"> </w:t>
            </w:r>
            <w:r w:rsidRPr="005C3842">
              <w:rPr>
                <w:rFonts w:ascii="Times New Roman" w:hAnsi="Times New Roman"/>
              </w:rPr>
              <w:t>не</w:t>
            </w:r>
            <w:r w:rsidRPr="005C3842">
              <w:rPr>
                <w:rFonts w:ascii="Times New Roman" w:hAnsi="Times New Roman"/>
                <w:lang w:val="en-US"/>
              </w:rPr>
              <w:t xml:space="preserve"> ​​</w:t>
            </w:r>
            <w:r w:rsidRPr="005C3842">
              <w:rPr>
                <w:rFonts w:ascii="Times New Roman" w:hAnsi="Times New Roman"/>
              </w:rPr>
              <w:t>летючих</w:t>
            </w:r>
            <w:r w:rsidRPr="005C3842">
              <w:rPr>
                <w:rFonts w:ascii="Times New Roman" w:hAnsi="Times New Roman"/>
                <w:lang w:val="en-US"/>
              </w:rPr>
              <w:t xml:space="preserve"> </w:t>
            </w:r>
            <w:r w:rsidRPr="005C3842">
              <w:rPr>
                <w:rFonts w:ascii="Times New Roman" w:hAnsi="Times New Roman"/>
              </w:rPr>
              <w:t>речовин</w:t>
            </w:r>
            <w:r w:rsidRPr="005C3842">
              <w:rPr>
                <w:rFonts w:ascii="Times New Roman" w:hAnsi="Times New Roman"/>
                <w:lang w:val="en-US"/>
              </w:rPr>
              <w:t xml:space="preserve"> </w:t>
            </w:r>
            <w:r w:rsidRPr="005C3842">
              <w:rPr>
                <w:rFonts w:ascii="Times New Roman" w:hAnsi="Times New Roman"/>
              </w:rPr>
              <w:t>не</w:t>
            </w:r>
            <w:r w:rsidRPr="005C3842">
              <w:rPr>
                <w:rFonts w:ascii="Times New Roman" w:hAnsi="Times New Roman"/>
                <w:lang w:val="en-US"/>
              </w:rPr>
              <w:t xml:space="preserve"> </w:t>
            </w:r>
            <w:r w:rsidRPr="005C3842">
              <w:rPr>
                <w:rFonts w:ascii="Times New Roman" w:hAnsi="Times New Roman"/>
              </w:rPr>
              <w:t>менше</w:t>
            </w:r>
            <w:r w:rsidRPr="005C3842">
              <w:rPr>
                <w:rFonts w:ascii="Times New Roman" w:hAnsi="Times New Roman"/>
                <w:lang w:val="en-US"/>
              </w:rPr>
              <w:t xml:space="preserve"> 50-60%, </w:t>
            </w:r>
            <w:r w:rsidRPr="005C3842">
              <w:rPr>
                <w:rFonts w:ascii="Times New Roman" w:hAnsi="Times New Roman"/>
              </w:rPr>
              <w:t>основні</w:t>
            </w:r>
            <w:r w:rsidRPr="005C3842">
              <w:rPr>
                <w:rFonts w:ascii="Times New Roman" w:hAnsi="Times New Roman"/>
                <w:lang w:val="en-US"/>
              </w:rPr>
              <w:t xml:space="preserve"> </w:t>
            </w:r>
            <w:r w:rsidRPr="005C3842">
              <w:rPr>
                <w:rFonts w:ascii="Times New Roman" w:hAnsi="Times New Roman"/>
              </w:rPr>
              <w:t>фізико</w:t>
            </w:r>
            <w:r w:rsidRPr="005C3842">
              <w:rPr>
                <w:rFonts w:ascii="Times New Roman" w:hAnsi="Times New Roman"/>
                <w:lang w:val="en-US"/>
              </w:rPr>
              <w:t>-</w:t>
            </w:r>
            <w:r w:rsidRPr="005C3842">
              <w:rPr>
                <w:rFonts w:ascii="Times New Roman" w:hAnsi="Times New Roman"/>
              </w:rPr>
              <w:t>механічні</w:t>
            </w:r>
            <w:r w:rsidRPr="005C3842">
              <w:rPr>
                <w:rFonts w:ascii="Times New Roman" w:hAnsi="Times New Roman"/>
                <w:lang w:val="en-US"/>
              </w:rPr>
              <w:t xml:space="preserve"> </w:t>
            </w:r>
            <w:r w:rsidRPr="005C3842">
              <w:rPr>
                <w:rFonts w:ascii="Times New Roman" w:hAnsi="Times New Roman"/>
              </w:rPr>
              <w:t>характеристики</w:t>
            </w:r>
            <w:r w:rsidRPr="005C3842">
              <w:rPr>
                <w:rFonts w:ascii="Times New Roman" w:hAnsi="Times New Roman"/>
                <w:lang w:val="en-US"/>
              </w:rPr>
              <w:t xml:space="preserve"> </w:t>
            </w:r>
            <w:r w:rsidRPr="005C3842">
              <w:rPr>
                <w:rFonts w:ascii="Times New Roman" w:hAnsi="Times New Roman"/>
              </w:rPr>
              <w:t>відповідають</w:t>
            </w:r>
            <w:r w:rsidRPr="005C3842">
              <w:rPr>
                <w:rFonts w:ascii="Times New Roman" w:hAnsi="Times New Roman"/>
                <w:lang w:val="en-US"/>
              </w:rPr>
              <w:t xml:space="preserve"> </w:t>
            </w:r>
            <w:r w:rsidRPr="005C3842">
              <w:rPr>
                <w:rFonts w:ascii="Times New Roman" w:hAnsi="Times New Roman"/>
              </w:rPr>
              <w:t>ДСТУ</w:t>
            </w:r>
            <w:r w:rsidRPr="005C3842">
              <w:rPr>
                <w:rFonts w:ascii="Times New Roman" w:hAnsi="Times New Roman"/>
                <w:lang w:val="en-US"/>
              </w:rPr>
              <w:t xml:space="preserve"> </w:t>
            </w:r>
            <w:r w:rsidRPr="005C3842">
              <w:rPr>
                <w:rFonts w:ascii="Times New Roman" w:hAnsi="Times New Roman"/>
              </w:rPr>
              <w:t>Б</w:t>
            </w:r>
            <w:r w:rsidRPr="005C3842">
              <w:rPr>
                <w:rFonts w:ascii="Times New Roman" w:hAnsi="Times New Roman"/>
                <w:lang w:val="en-US"/>
              </w:rPr>
              <w:t xml:space="preserve"> </w:t>
            </w:r>
            <w:r w:rsidRPr="005C3842">
              <w:rPr>
                <w:rFonts w:ascii="Times New Roman" w:hAnsi="Times New Roman"/>
              </w:rPr>
              <w:t>В</w:t>
            </w:r>
            <w:r w:rsidRPr="005C3842">
              <w:rPr>
                <w:rFonts w:ascii="Times New Roman" w:hAnsi="Times New Roman"/>
                <w:lang w:val="en-US"/>
              </w:rPr>
              <w:t>.2.7-108-2001</w:t>
            </w:r>
          </w:p>
        </w:tc>
        <w:tc>
          <w:tcPr>
            <w:tcW w:w="1067" w:type="dxa"/>
            <w:tcBorders>
              <w:top w:val="nil"/>
              <w:left w:val="single" w:sz="4" w:space="0" w:color="auto"/>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rPr>
              <w:t>каністра</w:t>
            </w:r>
          </w:p>
        </w:tc>
        <w:tc>
          <w:tcPr>
            <w:tcW w:w="1080" w:type="dxa"/>
            <w:tcBorders>
              <w:top w:val="nil"/>
              <w:left w:val="nil"/>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rPr>
              <w:t>20</w:t>
            </w:r>
          </w:p>
        </w:tc>
      </w:tr>
      <w:tr w:rsidR="00214E6A" w:rsidRPr="005C3842" w:rsidTr="00126ADF">
        <w:trPr>
          <w:trHeight w:val="300"/>
        </w:trPr>
        <w:tc>
          <w:tcPr>
            <w:tcW w:w="438" w:type="dxa"/>
            <w:tcBorders>
              <w:top w:val="single" w:sz="4" w:space="0" w:color="auto"/>
              <w:left w:val="single" w:sz="4" w:space="0" w:color="auto"/>
              <w:bottom w:val="single" w:sz="4" w:space="0" w:color="auto"/>
              <w:right w:val="nil"/>
            </w:tcBorders>
            <w:vAlign w:val="center"/>
          </w:tcPr>
          <w:p w:rsidR="00214E6A" w:rsidRPr="005C3842" w:rsidRDefault="00214E6A" w:rsidP="005C3842">
            <w:pPr>
              <w:spacing w:after="0" w:line="240" w:lineRule="auto"/>
              <w:contextualSpacing/>
              <w:rPr>
                <w:rFonts w:ascii="Times New Roman" w:hAnsi="Times New Roman"/>
              </w:rPr>
            </w:pPr>
            <w:r w:rsidRPr="005C3842">
              <w:rPr>
                <w:rFonts w:ascii="Times New Roman" w:hAnsi="Times New Roman"/>
              </w:rPr>
              <w:t>2</w:t>
            </w:r>
          </w:p>
        </w:tc>
        <w:tc>
          <w:tcPr>
            <w:tcW w:w="2383" w:type="dxa"/>
            <w:tcBorders>
              <w:top w:val="single" w:sz="4" w:space="0" w:color="auto"/>
              <w:left w:val="single" w:sz="4" w:space="0" w:color="auto"/>
              <w:bottom w:val="single" w:sz="4" w:space="0" w:color="auto"/>
              <w:right w:val="nil"/>
            </w:tcBorders>
          </w:tcPr>
          <w:p w:rsidR="00214E6A" w:rsidRPr="005C3842" w:rsidRDefault="00214E6A" w:rsidP="005C3842">
            <w:pPr>
              <w:spacing w:after="0" w:line="240" w:lineRule="auto"/>
              <w:jc w:val="both"/>
              <w:rPr>
                <w:rFonts w:ascii="Times New Roman" w:hAnsi="Times New Roman"/>
              </w:rPr>
            </w:pPr>
            <w:r w:rsidRPr="005C3842">
              <w:rPr>
                <w:rFonts w:ascii="Times New Roman" w:hAnsi="Times New Roman"/>
              </w:rPr>
              <w:t xml:space="preserve">Суміш армуюча (25кг.) </w:t>
            </w:r>
            <w:r w:rsidRPr="005C3842">
              <w:rPr>
                <w:rFonts w:ascii="Times New Roman" w:hAnsi="Times New Roman"/>
                <w:lang w:val="en-US"/>
              </w:rPr>
              <w:t>Anzerglob</w:t>
            </w:r>
            <w:r w:rsidRPr="005C3842">
              <w:rPr>
                <w:rFonts w:ascii="Times New Roman" w:hAnsi="Times New Roman"/>
              </w:rPr>
              <w:t xml:space="preserve"> ВСХ40</w:t>
            </w:r>
          </w:p>
        </w:tc>
        <w:tc>
          <w:tcPr>
            <w:tcW w:w="5819" w:type="dxa"/>
            <w:tcBorders>
              <w:top w:val="single" w:sz="4" w:space="0" w:color="auto"/>
              <w:left w:val="single" w:sz="4" w:space="0" w:color="auto"/>
              <w:bottom w:val="single" w:sz="4" w:space="0" w:color="auto"/>
              <w:right w:val="nil"/>
            </w:tcBorders>
          </w:tcPr>
          <w:p w:rsidR="00214E6A" w:rsidRPr="005C3842" w:rsidRDefault="00214E6A" w:rsidP="005C3842">
            <w:pPr>
              <w:spacing w:after="0" w:line="240" w:lineRule="auto"/>
              <w:jc w:val="both"/>
              <w:rPr>
                <w:rFonts w:ascii="Times New Roman" w:hAnsi="Times New Roman"/>
              </w:rPr>
            </w:pPr>
            <w:r w:rsidRPr="005C3842">
              <w:rPr>
                <w:rFonts w:ascii="Times New Roman" w:hAnsi="Times New Roman"/>
              </w:rPr>
              <w:t xml:space="preserve">повинна бути у фірмовому (від заводу виробника) паперовому мішку вагою </w:t>
            </w:r>
            <w:smartTag w:uri="urn:schemas-microsoft-com:office:smarttags" w:element="metricconverter">
              <w:smartTagPr>
                <w:attr w:name="ProductID" w:val="25 кг"/>
              </w:smartTagPr>
              <w:r w:rsidRPr="005C3842">
                <w:rPr>
                  <w:rFonts w:ascii="Times New Roman" w:hAnsi="Times New Roman"/>
                </w:rPr>
                <w:t>25 кг</w:t>
              </w:r>
            </w:smartTag>
            <w:r w:rsidRPr="005C3842">
              <w:rPr>
                <w:rFonts w:ascii="Times New Roman" w:hAnsi="Times New Roman"/>
              </w:rPr>
              <w:t>;  міцність на стиск не менше 15МПа, адгезія до бетону не менше 0,75МПа; ТУ У В.2.7-26.6-24962264-001:2005</w:t>
            </w:r>
          </w:p>
        </w:tc>
        <w:tc>
          <w:tcPr>
            <w:tcW w:w="1067" w:type="dxa"/>
            <w:tcBorders>
              <w:top w:val="nil"/>
              <w:left w:val="single" w:sz="4" w:space="0" w:color="auto"/>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rPr>
              <w:t>упаковка</w:t>
            </w:r>
          </w:p>
        </w:tc>
        <w:tc>
          <w:tcPr>
            <w:tcW w:w="1080" w:type="dxa"/>
            <w:tcBorders>
              <w:top w:val="nil"/>
              <w:left w:val="nil"/>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rPr>
              <w:t>30</w:t>
            </w:r>
          </w:p>
        </w:tc>
      </w:tr>
      <w:tr w:rsidR="00214E6A" w:rsidRPr="005C3842" w:rsidTr="00126ADF">
        <w:trPr>
          <w:trHeight w:val="300"/>
        </w:trPr>
        <w:tc>
          <w:tcPr>
            <w:tcW w:w="438" w:type="dxa"/>
            <w:tcBorders>
              <w:top w:val="single" w:sz="4" w:space="0" w:color="auto"/>
              <w:left w:val="single" w:sz="4" w:space="0" w:color="auto"/>
              <w:bottom w:val="single" w:sz="4" w:space="0" w:color="auto"/>
              <w:right w:val="nil"/>
            </w:tcBorders>
            <w:vAlign w:val="center"/>
          </w:tcPr>
          <w:p w:rsidR="00214E6A" w:rsidRPr="005C3842" w:rsidRDefault="00214E6A" w:rsidP="005C3842">
            <w:pPr>
              <w:spacing w:after="0" w:line="240" w:lineRule="auto"/>
              <w:contextualSpacing/>
              <w:rPr>
                <w:rFonts w:ascii="Times New Roman" w:hAnsi="Times New Roman"/>
                <w:lang w:val="en-US"/>
              </w:rPr>
            </w:pPr>
            <w:r w:rsidRPr="005C3842">
              <w:rPr>
                <w:rFonts w:ascii="Times New Roman" w:hAnsi="Times New Roman"/>
                <w:lang w:val="en-US"/>
              </w:rPr>
              <w:t>3</w:t>
            </w:r>
          </w:p>
        </w:tc>
        <w:tc>
          <w:tcPr>
            <w:tcW w:w="2383" w:type="dxa"/>
            <w:tcBorders>
              <w:top w:val="single" w:sz="4" w:space="0" w:color="auto"/>
              <w:left w:val="single" w:sz="4" w:space="0" w:color="auto"/>
              <w:bottom w:val="single" w:sz="4" w:space="0" w:color="auto"/>
              <w:right w:val="nil"/>
            </w:tcBorders>
          </w:tcPr>
          <w:p w:rsidR="00214E6A" w:rsidRPr="005C3842" w:rsidRDefault="00214E6A" w:rsidP="005C3842">
            <w:pPr>
              <w:spacing w:after="0" w:line="240" w:lineRule="auto"/>
              <w:jc w:val="both"/>
              <w:rPr>
                <w:rFonts w:ascii="Times New Roman" w:hAnsi="Times New Roman"/>
              </w:rPr>
            </w:pPr>
            <w:r w:rsidRPr="005C3842">
              <w:rPr>
                <w:rFonts w:ascii="Times New Roman" w:hAnsi="Times New Roman"/>
              </w:rPr>
              <w:t>Ґрунтовка СТ17 Geresit (10л)</w:t>
            </w:r>
          </w:p>
        </w:tc>
        <w:tc>
          <w:tcPr>
            <w:tcW w:w="5819" w:type="dxa"/>
            <w:tcBorders>
              <w:top w:val="single" w:sz="4" w:space="0" w:color="auto"/>
              <w:left w:val="single" w:sz="4" w:space="0" w:color="auto"/>
              <w:bottom w:val="single" w:sz="4" w:space="0" w:color="auto"/>
              <w:right w:val="nil"/>
            </w:tcBorders>
          </w:tcPr>
          <w:p w:rsidR="00214E6A" w:rsidRPr="005C3842" w:rsidRDefault="00214E6A" w:rsidP="005C3842">
            <w:pPr>
              <w:spacing w:after="0" w:line="240" w:lineRule="auto"/>
              <w:jc w:val="both"/>
              <w:rPr>
                <w:rFonts w:ascii="Times New Roman" w:hAnsi="Times New Roman"/>
              </w:rPr>
            </w:pPr>
            <w:r w:rsidRPr="005C3842">
              <w:rPr>
                <w:rFonts w:ascii="Times New Roman" w:hAnsi="Times New Roman"/>
              </w:rPr>
              <w:t>повинна бути у фірмовій (від заводу виробника) герметичній пластмасовій каністрі 10л; колір світло-жовтий, густина рідини 1.01</w:t>
            </w:r>
            <w:r w:rsidRPr="005C3842">
              <w:rPr>
                <w:rFonts w:ascii="Times New Roman" w:hAnsi="Times New Roman"/>
                <w:u w:val="single"/>
              </w:rPr>
              <w:t>+</w:t>
            </w:r>
            <w:r w:rsidRPr="005C3842">
              <w:rPr>
                <w:rFonts w:ascii="Times New Roman" w:hAnsi="Times New Roman"/>
              </w:rPr>
              <w:t xml:space="preserve"> 0,01 г/мл,                               ТУ У В.2.7-24.3-21685172-006:2009</w:t>
            </w:r>
          </w:p>
        </w:tc>
        <w:tc>
          <w:tcPr>
            <w:tcW w:w="1067" w:type="dxa"/>
            <w:tcBorders>
              <w:top w:val="nil"/>
              <w:left w:val="single" w:sz="4" w:space="0" w:color="auto"/>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rPr>
              <w:t>каністра</w:t>
            </w:r>
          </w:p>
        </w:tc>
        <w:tc>
          <w:tcPr>
            <w:tcW w:w="1080" w:type="dxa"/>
            <w:tcBorders>
              <w:top w:val="nil"/>
              <w:left w:val="nil"/>
              <w:bottom w:val="single" w:sz="4" w:space="0" w:color="auto"/>
              <w:right w:val="single" w:sz="4" w:space="0" w:color="auto"/>
            </w:tcBorders>
            <w:noWrap/>
          </w:tcPr>
          <w:p w:rsidR="00214E6A" w:rsidRPr="005C3842" w:rsidRDefault="00214E6A" w:rsidP="005C3842">
            <w:pPr>
              <w:spacing w:after="0" w:line="240" w:lineRule="auto"/>
              <w:jc w:val="center"/>
              <w:rPr>
                <w:rFonts w:ascii="Times New Roman" w:hAnsi="Times New Roman"/>
              </w:rPr>
            </w:pPr>
            <w:r w:rsidRPr="005C3842">
              <w:rPr>
                <w:rFonts w:ascii="Times New Roman" w:hAnsi="Times New Roman"/>
              </w:rPr>
              <w:t>15</w:t>
            </w:r>
          </w:p>
        </w:tc>
      </w:tr>
    </w:tbl>
    <w:p w:rsidR="00214E6A" w:rsidRPr="005C3842" w:rsidRDefault="00214E6A" w:rsidP="005C3842">
      <w:pPr>
        <w:pStyle w:val="ListParagraph"/>
        <w:spacing w:after="0" w:line="240" w:lineRule="auto"/>
        <w:ind w:left="0"/>
        <w:jc w:val="both"/>
        <w:rPr>
          <w:lang w:val="uk-UA"/>
        </w:rPr>
      </w:pPr>
    </w:p>
    <w:sectPr w:rsidR="00214E6A" w:rsidRPr="005C3842" w:rsidSect="005C3842">
      <w:pgSz w:w="11906" w:h="16838"/>
      <w:pgMar w:top="719" w:right="850" w:bottom="71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AC5"/>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CE3D48"/>
    <w:multiLevelType w:val="hybridMultilevel"/>
    <w:tmpl w:val="8ACE7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165EEF"/>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8CC"/>
    <w:rsid w:val="000153C3"/>
    <w:rsid w:val="0002215F"/>
    <w:rsid w:val="00025645"/>
    <w:rsid w:val="00030388"/>
    <w:rsid w:val="0006623F"/>
    <w:rsid w:val="00076E74"/>
    <w:rsid w:val="00087EB8"/>
    <w:rsid w:val="00093E11"/>
    <w:rsid w:val="000A025C"/>
    <w:rsid w:val="000D0B7D"/>
    <w:rsid w:val="0010071E"/>
    <w:rsid w:val="00126ADF"/>
    <w:rsid w:val="00196CE5"/>
    <w:rsid w:val="001A789E"/>
    <w:rsid w:val="001C7000"/>
    <w:rsid w:val="001E11D8"/>
    <w:rsid w:val="00213467"/>
    <w:rsid w:val="00214E6A"/>
    <w:rsid w:val="00224C40"/>
    <w:rsid w:val="002718A1"/>
    <w:rsid w:val="00302A78"/>
    <w:rsid w:val="00303855"/>
    <w:rsid w:val="00314534"/>
    <w:rsid w:val="00345175"/>
    <w:rsid w:val="00367076"/>
    <w:rsid w:val="00384706"/>
    <w:rsid w:val="00385D69"/>
    <w:rsid w:val="00410405"/>
    <w:rsid w:val="00414FD5"/>
    <w:rsid w:val="00437973"/>
    <w:rsid w:val="00446C93"/>
    <w:rsid w:val="0046560D"/>
    <w:rsid w:val="00483B09"/>
    <w:rsid w:val="004A06A5"/>
    <w:rsid w:val="004A08E3"/>
    <w:rsid w:val="004C04DD"/>
    <w:rsid w:val="004E14A4"/>
    <w:rsid w:val="005065B7"/>
    <w:rsid w:val="00521C8D"/>
    <w:rsid w:val="00526CE8"/>
    <w:rsid w:val="0052749F"/>
    <w:rsid w:val="005608B6"/>
    <w:rsid w:val="00566C7C"/>
    <w:rsid w:val="00566FFB"/>
    <w:rsid w:val="00567035"/>
    <w:rsid w:val="005766B1"/>
    <w:rsid w:val="0058006C"/>
    <w:rsid w:val="005809BA"/>
    <w:rsid w:val="005866B9"/>
    <w:rsid w:val="005C3842"/>
    <w:rsid w:val="005F0962"/>
    <w:rsid w:val="00637F99"/>
    <w:rsid w:val="006651FB"/>
    <w:rsid w:val="00665748"/>
    <w:rsid w:val="00666957"/>
    <w:rsid w:val="00667F2D"/>
    <w:rsid w:val="0067653E"/>
    <w:rsid w:val="006B109E"/>
    <w:rsid w:val="006C6F54"/>
    <w:rsid w:val="006D0308"/>
    <w:rsid w:val="006D3978"/>
    <w:rsid w:val="006D48EE"/>
    <w:rsid w:val="00720EEE"/>
    <w:rsid w:val="00780E44"/>
    <w:rsid w:val="0078355E"/>
    <w:rsid w:val="00786107"/>
    <w:rsid w:val="007B18AC"/>
    <w:rsid w:val="007C2AA9"/>
    <w:rsid w:val="007C2CC3"/>
    <w:rsid w:val="007D4B4D"/>
    <w:rsid w:val="0086554D"/>
    <w:rsid w:val="009157A2"/>
    <w:rsid w:val="00936751"/>
    <w:rsid w:val="00991D21"/>
    <w:rsid w:val="009D37CD"/>
    <w:rsid w:val="009E33B5"/>
    <w:rsid w:val="009F3783"/>
    <w:rsid w:val="00A36AF7"/>
    <w:rsid w:val="00A520AF"/>
    <w:rsid w:val="00A73693"/>
    <w:rsid w:val="00AA32A5"/>
    <w:rsid w:val="00AC0159"/>
    <w:rsid w:val="00B24F7E"/>
    <w:rsid w:val="00B5315F"/>
    <w:rsid w:val="00B64B54"/>
    <w:rsid w:val="00B71689"/>
    <w:rsid w:val="00B97331"/>
    <w:rsid w:val="00BD224A"/>
    <w:rsid w:val="00BF3FB6"/>
    <w:rsid w:val="00C23C92"/>
    <w:rsid w:val="00C23E3C"/>
    <w:rsid w:val="00C43E18"/>
    <w:rsid w:val="00C77B35"/>
    <w:rsid w:val="00C92C36"/>
    <w:rsid w:val="00C93C3B"/>
    <w:rsid w:val="00CA2B7D"/>
    <w:rsid w:val="00CB3865"/>
    <w:rsid w:val="00CD6308"/>
    <w:rsid w:val="00CE190C"/>
    <w:rsid w:val="00CF1CDA"/>
    <w:rsid w:val="00D12DC7"/>
    <w:rsid w:val="00D83B49"/>
    <w:rsid w:val="00D90F86"/>
    <w:rsid w:val="00D93414"/>
    <w:rsid w:val="00DA2605"/>
    <w:rsid w:val="00DB6879"/>
    <w:rsid w:val="00E07C5F"/>
    <w:rsid w:val="00E11BE6"/>
    <w:rsid w:val="00E1259F"/>
    <w:rsid w:val="00E15FE2"/>
    <w:rsid w:val="00E22BDA"/>
    <w:rsid w:val="00E52AE5"/>
    <w:rsid w:val="00E566D4"/>
    <w:rsid w:val="00E97E5D"/>
    <w:rsid w:val="00EA421C"/>
    <w:rsid w:val="00EA55D6"/>
    <w:rsid w:val="00EC0D9E"/>
    <w:rsid w:val="00EE679C"/>
    <w:rsid w:val="00F00284"/>
    <w:rsid w:val="00F2406E"/>
    <w:rsid w:val="00F30EA3"/>
    <w:rsid w:val="00F45F5A"/>
    <w:rsid w:val="00F475E3"/>
    <w:rsid w:val="00F518CC"/>
    <w:rsid w:val="00F956F0"/>
    <w:rsid w:val="00FD7442"/>
    <w:rsid w:val="00FF7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EEE"/>
    <w:pPr>
      <w:ind w:left="720"/>
      <w:contextualSpacing/>
    </w:pPr>
  </w:style>
  <w:style w:type="character" w:customStyle="1" w:styleId="h-hidden">
    <w:name w:val="h-hidden"/>
    <w:uiPriority w:val="99"/>
    <w:rsid w:val="00E22BDA"/>
  </w:style>
  <w:style w:type="character" w:styleId="Strong">
    <w:name w:val="Strong"/>
    <w:basedOn w:val="DefaultParagraphFont"/>
    <w:uiPriority w:val="99"/>
    <w:qFormat/>
    <w:locked/>
    <w:rsid w:val="00D93414"/>
    <w:rPr>
      <w:rFonts w:cs="Times New Roman"/>
      <w:b/>
    </w:rPr>
  </w:style>
  <w:style w:type="character" w:styleId="Hyperlink">
    <w:name w:val="Hyperlink"/>
    <w:basedOn w:val="DefaultParagraphFont"/>
    <w:uiPriority w:val="99"/>
    <w:rsid w:val="006D48EE"/>
    <w:rPr>
      <w:rFonts w:cs="Times New Roman"/>
      <w:color w:val="0000FF"/>
      <w:u w:val="single"/>
    </w:rPr>
  </w:style>
  <w:style w:type="paragraph" w:styleId="HTMLPreformatted">
    <w:name w:val="HTML Preformatted"/>
    <w:basedOn w:val="Normal"/>
    <w:link w:val="HTMLPreformattedChar"/>
    <w:uiPriority w:val="99"/>
    <w:rsid w:val="0002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475E3"/>
    <w:rPr>
      <w:rFonts w:ascii="Courier New" w:hAnsi="Courier New" w:cs="Courier New"/>
      <w:sz w:val="20"/>
      <w:szCs w:val="20"/>
      <w:lang w:eastAsia="en-US"/>
    </w:rPr>
  </w:style>
  <w:style w:type="paragraph" w:styleId="NormalWe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Normal"/>
    <w:link w:val="NormalWebChar"/>
    <w:uiPriority w:val="99"/>
    <w:rsid w:val="005C3842"/>
    <w:pPr>
      <w:spacing w:before="100" w:beforeAutospacing="1" w:after="100" w:afterAutospacing="1" w:line="240" w:lineRule="auto"/>
    </w:pPr>
    <w:rPr>
      <w:sz w:val="24"/>
      <w:szCs w:val="20"/>
      <w:lang w:eastAsia="ru-RU"/>
    </w:rPr>
  </w:style>
  <w:style w:type="character" w:customStyle="1" w:styleId="NormalWebChar">
    <w:name w:val="Normal (Web) Char"/>
    <w:aliases w:val="Обычный (веб) Знак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Обычный (Web) Char"/>
    <w:link w:val="NormalWeb"/>
    <w:uiPriority w:val="99"/>
    <w:locked/>
    <w:rsid w:val="005C3842"/>
    <w:rPr>
      <w:sz w:val="24"/>
    </w:rPr>
  </w:style>
</w:styles>
</file>

<file path=word/webSettings.xml><?xml version="1.0" encoding="utf-8"?>
<w:webSettings xmlns:r="http://schemas.openxmlformats.org/officeDocument/2006/relationships" xmlns:w="http://schemas.openxmlformats.org/wordprocessingml/2006/main">
  <w:divs>
    <w:div w:id="135076559">
      <w:marLeft w:val="0"/>
      <w:marRight w:val="0"/>
      <w:marTop w:val="0"/>
      <w:marBottom w:val="0"/>
      <w:divBdr>
        <w:top w:val="none" w:sz="0" w:space="0" w:color="auto"/>
        <w:left w:val="none" w:sz="0" w:space="0" w:color="auto"/>
        <w:bottom w:val="none" w:sz="0" w:space="0" w:color="auto"/>
        <w:right w:val="none" w:sz="0" w:space="0" w:color="auto"/>
      </w:divBdr>
    </w:div>
    <w:div w:id="135076560">
      <w:marLeft w:val="0"/>
      <w:marRight w:val="0"/>
      <w:marTop w:val="0"/>
      <w:marBottom w:val="0"/>
      <w:divBdr>
        <w:top w:val="none" w:sz="0" w:space="0" w:color="auto"/>
        <w:left w:val="none" w:sz="0" w:space="0" w:color="auto"/>
        <w:bottom w:val="none" w:sz="0" w:space="0" w:color="auto"/>
        <w:right w:val="none" w:sz="0" w:space="0" w:color="auto"/>
      </w:divBdr>
    </w:div>
    <w:div w:id="135076561">
      <w:marLeft w:val="0"/>
      <w:marRight w:val="0"/>
      <w:marTop w:val="0"/>
      <w:marBottom w:val="0"/>
      <w:divBdr>
        <w:top w:val="none" w:sz="0" w:space="0" w:color="auto"/>
        <w:left w:val="none" w:sz="0" w:space="0" w:color="auto"/>
        <w:bottom w:val="none" w:sz="0" w:space="0" w:color="auto"/>
        <w:right w:val="none" w:sz="0" w:space="0" w:color="auto"/>
      </w:divBdr>
    </w:div>
    <w:div w:id="135076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9-07-010111-c" TargetMode="External"/><Relationship Id="rId5" Type="http://schemas.openxmlformats.org/officeDocument/2006/relationships/hyperlink" Target="https://prozorro.gov.ua/tender/UA-2021-09-07-010111-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829</Words>
  <Characters>4727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0400-ZhevzhykI</dc:creator>
  <cp:keywords/>
  <dc:description/>
  <cp:lastModifiedBy>Intel</cp:lastModifiedBy>
  <cp:revision>26</cp:revision>
  <cp:lastPrinted>2021-02-18T07:46:00Z</cp:lastPrinted>
  <dcterms:created xsi:type="dcterms:W3CDTF">2021-01-15T10:03:00Z</dcterms:created>
  <dcterms:modified xsi:type="dcterms:W3CDTF">2021-09-08T06:33:00Z</dcterms:modified>
</cp:coreProperties>
</file>